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shd w:fill="auto" w:val="clear"/>
        </w:rPr>
      </w:pPr>
      <w:r>
        <w:object w:dxaOrig="4435" w:dyaOrig="2462">
          <v:rect xmlns:o="urn:schemas-microsoft-com:office:office" xmlns:v="urn:schemas-microsoft-com:vml" id="rectole0000000000" style="width:221.750000pt;height:123.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left"/>
        <w:rPr>
          <w:rFonts w:ascii="Arial" w:hAnsi="Arial" w:cs="Arial" w:eastAsia="Arial"/>
          <w:b/>
          <w:color w:val="000000"/>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Schriftelijke vragen over beter aanbesteden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Geacht college,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 fractie van het CDA Dinkelland vindt dat aanbesteden door de gemeente toegankelijker moet worden voor het plaatselijke MKB. Op basis van een actieagenda, die op 16 februari door het kabinet is gepresenteerd wil het CDA, met alle betrokkenen zich hiervoor sterk maken. Heldere afspraken maken, dat is beter voor onze gemeente, en meer kansen bij aanbestedingen voor plaatselijke ondernemers. Dat komt de lokale economie en werkgelegenheid weer ten goede. De CDA-fractie verzoekt het college de acties uit de Actieagenda snel op te pakken en heeft daarom de volgende vragen: </w:t>
      </w:r>
    </w:p>
    <w:p>
      <w:pPr>
        <w:spacing w:before="0" w:after="0" w:line="276"/>
        <w:ind w:right="0" w:left="0" w:firstLine="0"/>
        <w:jc w:val="left"/>
        <w:rPr>
          <w:rFonts w:ascii="Arial" w:hAnsi="Arial" w:cs="Arial" w:eastAsia="Arial"/>
          <w:color w:val="000000"/>
          <w:spacing w:val="0"/>
          <w:position w:val="0"/>
          <w:sz w:val="22"/>
          <w:shd w:fill="auto" w:val="clear"/>
        </w:rPr>
      </w:pPr>
    </w:p>
    <w:p>
      <w:pPr>
        <w:numPr>
          <w:ilvl w:val="0"/>
          <w:numId w:val="2"/>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Heeft het college aanbestedingsprocedure(s) recent intern en/of samen met inschrijvers geëvalueerd? Zo ja, wat zijn de ervaringen en verbeterpunten? Zo nee, is het college daartoe bereid? </w:t>
      </w:r>
    </w:p>
    <w:p>
      <w:pPr>
        <w:numPr>
          <w:ilvl w:val="0"/>
          <w:numId w:val="2"/>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Kent onze gemeente een inkoopkalender en/of is het inkoopbeleid openbaar beschikbaar? </w:t>
      </w:r>
    </w:p>
    <w:p>
      <w:pPr>
        <w:numPr>
          <w:ilvl w:val="0"/>
          <w:numId w:val="2"/>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hoeveel procent van de gevallen zijn opdrachten van de gemeente sinds het begin van deze raadsperiode gegund aan lokale MKB’ers/ondernemers?</w:t>
      </w:r>
    </w:p>
    <w:p>
      <w:pPr>
        <w:numPr>
          <w:ilvl w:val="0"/>
          <w:numId w:val="2"/>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Uit de Actieagenda blijkt dat het voor het MKB vaak lastig is om toegang te krijgen tot overheidsopdrachten. Wat zijn de ervaringen in onze gemeente?</w:t>
      </w:r>
    </w:p>
    <w:p>
      <w:pPr>
        <w:numPr>
          <w:ilvl w:val="0"/>
          <w:numId w:val="2"/>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Wordt er in onze gemeente gebruik gemaakt van marktplaatsen en inkoopbureaus? Zo ja, wat zijn de ervaringen hiermee? </w:t>
      </w:r>
    </w:p>
    <w:p>
      <w:pPr>
        <w:numPr>
          <w:ilvl w:val="0"/>
          <w:numId w:val="2"/>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Is het college bereid om de aanbevelingen en acties uit de Actieagenda Beter Aanbesteden toe te passen op de werkwijze in onze gemeente, de plaatselijke ondernemers hierbij te betrekken, en de raad te informeren over de wijze waarop?</w:t>
        <w:br/>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Achtergrond</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het regeerakkoord erkent het kabinet het belang van het beschikken over voldoende inkoopexpertise bij overheden. Het spreekt verder de ambitie uit om de inkoopkracht van de overheid beter te benutten voor het versnellen van duurzame transities, het inschakelen van kwetsbare groepen en om innovatief in te kopen. Het kabinet wil gemeenten ondersteunen bij het benutten van mogelijkheden om goede en betaalbare ondersteuning in het sociale domein in te kopen en kansen te bieden voor nieuwe toetreders en innovatieve vormen van ondersteuning. Het kabinet heeft daartoe vrijdag 16 februari jl. de Actieagenda Beter Aanbesteden gepresenteerd.</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Met vriendelijke groet,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CDA Dinkelland</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Jos Jogems</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