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B87" w14:textId="77777777" w:rsidR="004734D3" w:rsidRDefault="004734D3">
      <w:pPr>
        <w:spacing w:after="48"/>
        <w:ind w:left="-664" w:right="-94"/>
        <w:rPr>
          <w:sz w:val="72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E98FA54" wp14:editId="29F4911B">
            <wp:simplePos x="0" y="0"/>
            <wp:positionH relativeFrom="margin">
              <wp:posOffset>-388620</wp:posOffset>
            </wp:positionH>
            <wp:positionV relativeFrom="paragraph">
              <wp:posOffset>-10795</wp:posOffset>
            </wp:positionV>
            <wp:extent cx="1078230" cy="8801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28429" w14:textId="41D95E49" w:rsidR="008A704D" w:rsidRDefault="0015127D">
      <w:pPr>
        <w:spacing w:after="48"/>
        <w:ind w:left="-664" w:right="-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B92F28" wp14:editId="56CF4127">
                <wp:extent cx="7531536" cy="889196"/>
                <wp:effectExtent l="0" t="0" r="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536" cy="889196"/>
                          <a:chOff x="0" y="154940"/>
                          <a:chExt cx="7531536" cy="889196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6662421" y="63754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0"/>
                                </a:moveTo>
                                <a:lnTo>
                                  <a:pt x="0" y="2882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05" y="637540"/>
                            <a:ext cx="665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1">
                                <a:moveTo>
                                  <a:pt x="0" y="0"/>
                                </a:moveTo>
                                <a:lnTo>
                                  <a:pt x="6659881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638810"/>
                            <a:ext cx="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90">
                                <a:moveTo>
                                  <a:pt x="0" y="0"/>
                                </a:moveTo>
                                <a:lnTo>
                                  <a:pt x="0" y="2882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15410" y="154940"/>
                            <a:ext cx="3616126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266A" w14:textId="77777777" w:rsidR="008A704D" w:rsidRDefault="001512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Amendement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634481" y="45377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8E76E" w14:textId="77777777" w:rsidR="008A704D" w:rsidRDefault="001512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72581" y="45377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DA72C" w14:textId="77777777" w:rsidR="008A704D" w:rsidRDefault="001512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701156" y="67284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814A0" w14:textId="77777777" w:rsidR="008A704D" w:rsidRDefault="001512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634481" y="8181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ED1F9" w14:textId="77777777" w:rsidR="008A704D" w:rsidRDefault="001512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92F28" id="Group 1236" o:spid="_x0000_s1026" style="width:593.05pt;height:70pt;mso-position-horizontal-relative:char;mso-position-vertical-relative:line" coordorigin=",1549" coordsize="75315,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">
                <v:shape id="Shape 105" o:spid="_x0000_s1027" style="position:absolute;left:66624;top:637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" path="m,l,288290e" filled="f" strokeweight=".25pt">
                  <v:path arrowok="t" textboxrect="0,0,0,288290"/>
                </v:shape>
                <v:shape id="Shape 106" o:spid="_x0000_s1028" style="position:absolute;left:19;top:6375;width:66598;height:0;visibility:visible;mso-wrap-style:square;v-text-anchor:top" coordsize="6659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" path="m,l6659881,e" filled="f" strokeweight=".25pt">
                  <v:path arrowok="t" textboxrect="0,0,6659881,0"/>
                </v:shape>
                <v:shape id="Shape 107" o:spid="_x0000_s1029" style="position:absolute;top:6388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" path="m,l,288290e" filled="f" strokeweight=".25pt">
                  <v:path arrowok="t" textboxrect="0,0,0,288290"/>
                </v:shape>
                <v:rect id="Rectangle 108" o:spid="_x0000_s1030" style="position:absolute;left:39154;top:1549;width:36161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8F0266A" w14:textId="77777777" w:rsidR="008A704D" w:rsidRDefault="001512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sz w:val="72"/>
                          </w:rPr>
                          <w:t>Amendement</w:t>
                        </w:r>
                        <w:proofErr w:type="spellEnd"/>
                      </w:p>
                    </w:txbxContent>
                  </v:textbox>
                </v:rect>
                <v:rect id="Rectangle 109" o:spid="_x0000_s1031" style="position:absolute;left:66344;top:4537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DB8E76E" w14:textId="77777777" w:rsidR="008A704D" w:rsidRDefault="0015127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66725;top:4537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6FDA72C" w14:textId="77777777" w:rsidR="008A704D" w:rsidRDefault="0015127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3" style="position:absolute;left:67011;top:6728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1E814A0" w14:textId="77777777" w:rsidR="008A704D" w:rsidRDefault="0015127D">
                        <w:pPr>
                          <w:spacing w:after="160"/>
                          <w:ind w:left="0"/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4" style="position:absolute;left:66344;top:81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B2ED1F9" w14:textId="77777777" w:rsidR="008A704D" w:rsidRDefault="0015127D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E5186D" w14:textId="77777777" w:rsidR="008A704D" w:rsidRDefault="0015127D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14" w:type="dxa"/>
        <w:tblInd w:w="5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8A704D" w:rsidRPr="004734D3" w14:paraId="68A5901C" w14:textId="77777777">
        <w:trPr>
          <w:trHeight w:val="13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712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b/>
                <w:sz w:val="20"/>
                <w:lang w:val="nl-NL"/>
              </w:rPr>
              <w:t xml:space="preserve"> </w:t>
            </w:r>
          </w:p>
          <w:p w14:paraId="226FBD3B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b/>
                <w:sz w:val="20"/>
                <w:lang w:val="nl-NL"/>
              </w:rPr>
              <w:t xml:space="preserve">Datum Raadsvergadering: 22 april 2024 </w:t>
            </w:r>
          </w:p>
          <w:p w14:paraId="33BB430C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b/>
                <w:i/>
                <w:sz w:val="20"/>
                <w:lang w:val="nl-NL"/>
              </w:rPr>
              <w:t xml:space="preserve"> </w:t>
            </w:r>
          </w:p>
          <w:p w14:paraId="3207E932" w14:textId="541588A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b/>
                <w:sz w:val="20"/>
                <w:lang w:val="nl-NL"/>
              </w:rPr>
              <w:t>Raadsvoorstel GM2024-1933792</w:t>
            </w:r>
            <w:r w:rsidRPr="004734D3">
              <w:rPr>
                <w:b/>
                <w:i/>
                <w:sz w:val="20"/>
                <w:lang w:val="nl-NL"/>
              </w:rPr>
              <w:t xml:space="preserve"> </w:t>
            </w:r>
          </w:p>
          <w:p w14:paraId="7489E1BA" w14:textId="77777777" w:rsidR="008A704D" w:rsidRPr="004734D3" w:rsidRDefault="0015127D">
            <w:pPr>
              <w:ind w:left="0"/>
              <w:rPr>
                <w:lang w:val="nl-NL"/>
              </w:rPr>
            </w:pPr>
            <w:r w:rsidRPr="004734D3">
              <w:rPr>
                <w:b/>
                <w:i/>
                <w:sz w:val="20"/>
                <w:lang w:val="nl-NL"/>
              </w:rPr>
              <w:t xml:space="preserve"> </w:t>
            </w:r>
          </w:p>
        </w:tc>
      </w:tr>
      <w:tr w:rsidR="008A704D" w14:paraId="63C76964" w14:textId="77777777">
        <w:trPr>
          <w:trHeight w:val="80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F9C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b/>
                <w:sz w:val="20"/>
                <w:lang w:val="nl-NL"/>
              </w:rPr>
              <w:t xml:space="preserve"> </w:t>
            </w:r>
          </w:p>
          <w:p w14:paraId="4DDEAA8E" w14:textId="77777777" w:rsidR="008A704D" w:rsidRDefault="0015127D">
            <w:pPr>
              <w:spacing w:after="17"/>
              <w:ind w:left="0"/>
            </w:pPr>
            <w:proofErr w:type="spellStart"/>
            <w:r>
              <w:rPr>
                <w:b/>
                <w:sz w:val="20"/>
              </w:rPr>
              <w:t>Onderwerp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Gymzalen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Strabrecht</w:t>
            </w:r>
            <w:proofErr w:type="spellEnd"/>
            <w:r>
              <w:rPr>
                <w:b/>
                <w:sz w:val="20"/>
              </w:rPr>
              <w:t xml:space="preserve"> College </w:t>
            </w:r>
          </w:p>
          <w:p w14:paraId="7241DCFA" w14:textId="77777777" w:rsidR="008A704D" w:rsidRDefault="0015127D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A704D" w:rsidRPr="004734D3" w14:paraId="6F462829" w14:textId="77777777" w:rsidTr="00320851">
        <w:trPr>
          <w:trHeight w:val="311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03DB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 </w:t>
            </w:r>
          </w:p>
          <w:p w14:paraId="7E57E34A" w14:textId="24D721C2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>Ondergetekende stelt</w:t>
            </w:r>
            <w:r w:rsidR="004734D3">
              <w:rPr>
                <w:sz w:val="20"/>
                <w:lang w:val="nl-NL"/>
              </w:rPr>
              <w:t xml:space="preserve"> </w:t>
            </w:r>
            <w:r w:rsidRPr="004734D3">
              <w:rPr>
                <w:sz w:val="20"/>
                <w:lang w:val="nl-NL"/>
              </w:rPr>
              <w:t xml:space="preserve">het volgende amendement voor: </w:t>
            </w:r>
          </w:p>
          <w:p w14:paraId="0CB77C1B" w14:textId="77777777" w:rsidR="008A704D" w:rsidRPr="004734D3" w:rsidRDefault="0015127D">
            <w:pPr>
              <w:spacing w:after="16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 </w:t>
            </w:r>
          </w:p>
          <w:p w14:paraId="7620D2C6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Het raadsbesluit als volgt te wijzigen: </w:t>
            </w:r>
          </w:p>
          <w:p w14:paraId="6442F442" w14:textId="77777777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 </w:t>
            </w:r>
          </w:p>
          <w:p w14:paraId="36D724D7" w14:textId="77777777" w:rsidR="004734D3" w:rsidRDefault="0015127D" w:rsidP="004734D3">
            <w:pPr>
              <w:spacing w:after="12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De beslispunten te vervangen door de volgende beslispunten; </w:t>
            </w:r>
          </w:p>
          <w:p w14:paraId="04A97E59" w14:textId="010422EC" w:rsidR="004734D3" w:rsidRPr="004734D3" w:rsidRDefault="004734D3" w:rsidP="004734D3">
            <w:pPr>
              <w:spacing w:after="12"/>
              <w:ind w:left="0"/>
              <w:rPr>
                <w:sz w:val="20"/>
                <w:szCs w:val="20"/>
                <w:lang w:val="nl-NL"/>
              </w:rPr>
            </w:pPr>
          </w:p>
          <w:p w14:paraId="24A14A65" w14:textId="438E9CD9" w:rsidR="004734D3" w:rsidRPr="004734D3" w:rsidRDefault="004734D3" w:rsidP="004734D3">
            <w:pPr>
              <w:pStyle w:val="Lijstalinea"/>
              <w:numPr>
                <w:ilvl w:val="0"/>
                <w:numId w:val="3"/>
              </w:numPr>
              <w:spacing w:after="12"/>
              <w:rPr>
                <w:sz w:val="20"/>
                <w:szCs w:val="20"/>
                <w:lang w:val="nl-NL"/>
              </w:rPr>
            </w:pPr>
            <w:proofErr w:type="spellStart"/>
            <w:r w:rsidRPr="004734D3">
              <w:rPr>
                <w:sz w:val="20"/>
                <w:szCs w:val="20"/>
                <w:lang w:val="nl-NL"/>
              </w:rPr>
              <w:t>I</w:t>
            </w:r>
            <w:r w:rsidR="0015127D" w:rsidRPr="004734D3">
              <w:rPr>
                <w:sz w:val="20"/>
                <w:szCs w:val="20"/>
                <w:lang w:val="nl-NL"/>
              </w:rPr>
              <w:t>n</w:t>
            </w:r>
            <w:proofErr w:type="spellEnd"/>
            <w:r w:rsidR="0015127D" w:rsidRPr="004734D3">
              <w:rPr>
                <w:sz w:val="20"/>
                <w:szCs w:val="20"/>
                <w:lang w:val="nl-NL"/>
              </w:rPr>
              <w:t xml:space="preserve"> te stemmen met een maximale bijdrage van € 1.600.126,- voor de nieuwbouw van twee gymzalen </w:t>
            </w:r>
            <w:proofErr w:type="spellStart"/>
            <w:r w:rsidR="0015127D" w:rsidRPr="004734D3">
              <w:rPr>
                <w:sz w:val="20"/>
                <w:szCs w:val="20"/>
                <w:lang w:val="nl-NL"/>
              </w:rPr>
              <w:t>Strabrecht</w:t>
            </w:r>
            <w:proofErr w:type="spellEnd"/>
            <w:r w:rsidR="0015127D" w:rsidRPr="004734D3">
              <w:rPr>
                <w:sz w:val="20"/>
                <w:szCs w:val="20"/>
                <w:lang w:val="nl-NL"/>
              </w:rPr>
              <w:t xml:space="preserve"> College (voor een levensduurverlenging van </w:t>
            </w:r>
            <w:r w:rsidR="00320851">
              <w:rPr>
                <w:sz w:val="20"/>
                <w:szCs w:val="20"/>
                <w:lang w:val="nl-NL"/>
              </w:rPr>
              <w:t>5</w:t>
            </w:r>
            <w:r w:rsidR="0015127D" w:rsidRPr="004734D3">
              <w:rPr>
                <w:sz w:val="20"/>
                <w:szCs w:val="20"/>
                <w:lang w:val="nl-NL"/>
              </w:rPr>
              <w:t xml:space="preserve">0 jaar) </w:t>
            </w:r>
          </w:p>
          <w:p w14:paraId="2488B5BA" w14:textId="77777777" w:rsidR="004734D3" w:rsidRPr="004734D3" w:rsidRDefault="0015127D" w:rsidP="004734D3">
            <w:pPr>
              <w:pStyle w:val="Lijstalinea"/>
              <w:numPr>
                <w:ilvl w:val="0"/>
                <w:numId w:val="3"/>
              </w:numPr>
              <w:spacing w:after="12"/>
              <w:rPr>
                <w:sz w:val="20"/>
                <w:szCs w:val="20"/>
                <w:lang w:val="nl-NL"/>
              </w:rPr>
            </w:pPr>
            <w:r w:rsidRPr="004734D3">
              <w:rPr>
                <w:sz w:val="20"/>
                <w:szCs w:val="20"/>
                <w:lang w:val="nl-NL"/>
              </w:rPr>
              <w:t xml:space="preserve">Het bedrag van € 1.600.126.- te activeren als activa in eigendom van derden en op de balans te verantwoorden als immateriële vast activa. </w:t>
            </w:r>
          </w:p>
          <w:p w14:paraId="686113EC" w14:textId="6FF6CDA4" w:rsidR="008A704D" w:rsidRPr="004734D3" w:rsidRDefault="0015127D" w:rsidP="00320851">
            <w:pPr>
              <w:pStyle w:val="Lijstalinea"/>
              <w:numPr>
                <w:ilvl w:val="0"/>
                <w:numId w:val="3"/>
              </w:numPr>
              <w:spacing w:after="12"/>
              <w:rPr>
                <w:lang w:val="nl-NL"/>
              </w:rPr>
            </w:pPr>
            <w:r w:rsidRPr="004734D3">
              <w:rPr>
                <w:sz w:val="20"/>
                <w:szCs w:val="20"/>
                <w:lang w:val="nl-NL"/>
              </w:rPr>
              <w:t xml:space="preserve">Hiertoe vast te stellen de 3" begrotingswijziging 2024. </w:t>
            </w:r>
            <w:r w:rsidRPr="004734D3">
              <w:rPr>
                <w:sz w:val="20"/>
                <w:lang w:val="nl-NL"/>
              </w:rPr>
              <w:t xml:space="preserve"> </w:t>
            </w:r>
          </w:p>
        </w:tc>
      </w:tr>
      <w:tr w:rsidR="008A704D" w:rsidRPr="004734D3" w14:paraId="07C5863F" w14:textId="77777777">
        <w:trPr>
          <w:trHeight w:val="53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E85" w14:textId="209C0109" w:rsidR="008A704D" w:rsidRPr="00320851" w:rsidRDefault="0015127D">
            <w:pPr>
              <w:spacing w:after="17"/>
              <w:ind w:left="0"/>
              <w:rPr>
                <w:b/>
                <w:sz w:val="20"/>
                <w:lang w:val="nl-NL"/>
              </w:rPr>
            </w:pPr>
            <w:r w:rsidRPr="00320851">
              <w:rPr>
                <w:b/>
                <w:sz w:val="20"/>
                <w:lang w:val="nl-NL"/>
              </w:rPr>
              <w:t xml:space="preserve">Toelichting </w:t>
            </w:r>
          </w:p>
          <w:p w14:paraId="54B2E458" w14:textId="77777777" w:rsidR="004734D3" w:rsidRDefault="004734D3" w:rsidP="004734D3">
            <w:pPr>
              <w:spacing w:after="12"/>
              <w:ind w:left="0"/>
              <w:rPr>
                <w:sz w:val="20"/>
                <w:szCs w:val="20"/>
                <w:lang w:val="nl-NL"/>
              </w:rPr>
            </w:pPr>
          </w:p>
          <w:p w14:paraId="01B230F1" w14:textId="31C66ECC" w:rsidR="008A704D" w:rsidRDefault="004734D3" w:rsidP="00320851">
            <w:pPr>
              <w:spacing w:after="12"/>
              <w:ind w:left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</w:t>
            </w:r>
            <w:r w:rsidRPr="004734D3">
              <w:rPr>
                <w:sz w:val="20"/>
                <w:szCs w:val="20"/>
                <w:lang w:val="nl-NL"/>
              </w:rPr>
              <w:t xml:space="preserve">e CDA fractie </w:t>
            </w:r>
            <w:r>
              <w:rPr>
                <w:sz w:val="20"/>
                <w:szCs w:val="20"/>
                <w:lang w:val="nl-NL"/>
              </w:rPr>
              <w:t xml:space="preserve">heeft naar aanleiding van </w:t>
            </w:r>
            <w:r w:rsidRPr="004734D3">
              <w:rPr>
                <w:sz w:val="20"/>
                <w:szCs w:val="20"/>
                <w:lang w:val="nl-NL"/>
              </w:rPr>
              <w:t xml:space="preserve">de behandeling </w:t>
            </w:r>
            <w:r>
              <w:rPr>
                <w:sz w:val="20"/>
                <w:szCs w:val="20"/>
                <w:lang w:val="nl-NL"/>
              </w:rPr>
              <w:t xml:space="preserve">van het raadsvoorstel </w:t>
            </w:r>
            <w:r w:rsidRPr="004734D3">
              <w:rPr>
                <w:sz w:val="20"/>
                <w:szCs w:val="20"/>
                <w:lang w:val="nl-NL"/>
              </w:rPr>
              <w:t>in de commissie Samenleving van 2 april</w:t>
            </w:r>
            <w:r>
              <w:rPr>
                <w:sz w:val="20"/>
                <w:szCs w:val="20"/>
                <w:lang w:val="nl-NL"/>
              </w:rPr>
              <w:t xml:space="preserve"> schriftelijke vragen gesteld aan het college van B&amp;W. De commissievergadering en de beantwoording van de vragen heeft nieuwe informatie opgeleverd. </w:t>
            </w:r>
            <w:r w:rsidR="00320851">
              <w:rPr>
                <w:sz w:val="20"/>
                <w:szCs w:val="20"/>
                <w:lang w:val="nl-NL"/>
              </w:rPr>
              <w:t xml:space="preserve">Het college geeft nu in de beantwoording van de vragen </w:t>
            </w:r>
            <w:r w:rsidRPr="004734D3">
              <w:rPr>
                <w:sz w:val="20"/>
                <w:szCs w:val="20"/>
                <w:lang w:val="nl-NL"/>
              </w:rPr>
              <w:t>de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4734D3">
              <w:rPr>
                <w:sz w:val="20"/>
                <w:szCs w:val="20"/>
                <w:lang w:val="nl-NL"/>
              </w:rPr>
              <w:t>gemeenteraad in overweging om in tegenstelling tot haar eerdere besluit te kiezen voor nieuwbouw</w:t>
            </w:r>
            <w:r w:rsidR="00320851">
              <w:rPr>
                <w:sz w:val="20"/>
                <w:szCs w:val="20"/>
                <w:lang w:val="nl-NL"/>
              </w:rPr>
              <w:t xml:space="preserve"> </w:t>
            </w:r>
            <w:r w:rsidRPr="004734D3">
              <w:rPr>
                <w:sz w:val="20"/>
                <w:szCs w:val="20"/>
                <w:lang w:val="nl-NL"/>
              </w:rPr>
              <w:t>van de twee gymzalen</w:t>
            </w:r>
            <w:r w:rsidR="00320851">
              <w:rPr>
                <w:sz w:val="20"/>
                <w:szCs w:val="20"/>
                <w:lang w:val="nl-NL"/>
              </w:rPr>
              <w:t>,</w:t>
            </w:r>
            <w:r w:rsidRPr="004734D3">
              <w:rPr>
                <w:sz w:val="20"/>
                <w:szCs w:val="20"/>
                <w:lang w:val="nl-NL"/>
              </w:rPr>
              <w:t xml:space="preserve"> conform het in september 2023 door </w:t>
            </w:r>
            <w:proofErr w:type="spellStart"/>
            <w:r w:rsidRPr="004734D3">
              <w:rPr>
                <w:sz w:val="20"/>
                <w:szCs w:val="20"/>
                <w:lang w:val="nl-NL"/>
              </w:rPr>
              <w:t>Silfo</w:t>
            </w:r>
            <w:proofErr w:type="spellEnd"/>
            <w:r w:rsidRPr="004734D3">
              <w:rPr>
                <w:sz w:val="20"/>
                <w:szCs w:val="20"/>
                <w:lang w:val="nl-NL"/>
              </w:rPr>
              <w:t xml:space="preserve"> ingediende voorlopige ontwerp met</w:t>
            </w:r>
            <w:r w:rsidR="00320851">
              <w:rPr>
                <w:sz w:val="20"/>
                <w:szCs w:val="20"/>
                <w:lang w:val="nl-NL"/>
              </w:rPr>
              <w:t xml:space="preserve"> inachtneming</w:t>
            </w:r>
            <w:r w:rsidRPr="004734D3">
              <w:rPr>
                <w:sz w:val="20"/>
                <w:szCs w:val="20"/>
                <w:lang w:val="nl-NL"/>
              </w:rPr>
              <w:t xml:space="preserve"> van de door </w:t>
            </w:r>
            <w:proofErr w:type="spellStart"/>
            <w:r w:rsidRPr="004734D3">
              <w:rPr>
                <w:sz w:val="20"/>
                <w:szCs w:val="20"/>
                <w:lang w:val="nl-NL"/>
              </w:rPr>
              <w:t>Silfo</w:t>
            </w:r>
            <w:proofErr w:type="spellEnd"/>
            <w:r w:rsidRPr="004734D3">
              <w:rPr>
                <w:sz w:val="20"/>
                <w:szCs w:val="20"/>
                <w:lang w:val="nl-NL"/>
              </w:rPr>
              <w:t xml:space="preserve"> gedane toezeggingen</w:t>
            </w:r>
            <w:r w:rsidR="00320851">
              <w:rPr>
                <w:sz w:val="20"/>
                <w:szCs w:val="20"/>
                <w:lang w:val="nl-NL"/>
              </w:rPr>
              <w:t xml:space="preserve">. </w:t>
            </w:r>
          </w:p>
          <w:p w14:paraId="4A570772" w14:textId="7E50ED72" w:rsidR="00320851" w:rsidRPr="004734D3" w:rsidRDefault="00320851" w:rsidP="00320851">
            <w:pPr>
              <w:spacing w:after="12"/>
              <w:ind w:left="0"/>
              <w:rPr>
                <w:lang w:val="nl-NL"/>
              </w:rPr>
            </w:pPr>
          </w:p>
        </w:tc>
      </w:tr>
      <w:tr w:rsidR="008A704D" w:rsidRPr="004734D3" w14:paraId="3130731A" w14:textId="77777777">
        <w:trPr>
          <w:trHeight w:val="398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CC98" w14:textId="1A3B1F90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 </w:t>
            </w:r>
          </w:p>
          <w:p w14:paraId="22A4B56B" w14:textId="45DB1EE1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Ondertekening en naam: </w:t>
            </w:r>
          </w:p>
          <w:p w14:paraId="61295782" w14:textId="1DB55A2B" w:rsidR="008A704D" w:rsidRPr="004734D3" w:rsidRDefault="00320851">
            <w:pPr>
              <w:spacing w:after="17"/>
              <w:ind w:left="0"/>
              <w:rPr>
                <w:lang w:val="nl-NL"/>
              </w:rPr>
            </w:pPr>
            <w:r>
              <w:rPr>
                <w:noProof/>
                <w:sz w:val="20"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33A45CB2" wp14:editId="7CF2858E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129540</wp:posOffset>
                  </wp:positionV>
                  <wp:extent cx="2377440" cy="1282481"/>
                  <wp:effectExtent l="0" t="0" r="3810" b="0"/>
                  <wp:wrapNone/>
                  <wp:docPr id="2" name="Afbeelding 2" descr="Afbeelding met schets, tekening, Lijnillustraties, lijn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schets, tekening, Lijnillustraties, lijntekening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28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27D" w:rsidRPr="004734D3">
              <w:rPr>
                <w:sz w:val="20"/>
                <w:lang w:val="nl-NL"/>
              </w:rPr>
              <w:t xml:space="preserve"> </w:t>
            </w:r>
          </w:p>
          <w:p w14:paraId="0A0EFED4" w14:textId="47CA2D5B" w:rsidR="008A704D" w:rsidRPr="004734D3" w:rsidRDefault="0015127D">
            <w:pPr>
              <w:spacing w:after="17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 </w:t>
            </w:r>
          </w:p>
          <w:p w14:paraId="34835B3E" w14:textId="176B0252" w:rsidR="00320851" w:rsidRDefault="0015127D">
            <w:pPr>
              <w:spacing w:after="12"/>
              <w:ind w:left="0"/>
              <w:rPr>
                <w:sz w:val="20"/>
                <w:lang w:val="nl-NL"/>
              </w:rPr>
            </w:pPr>
            <w:r w:rsidRPr="004734D3">
              <w:rPr>
                <w:sz w:val="20"/>
                <w:lang w:val="nl-NL"/>
              </w:rPr>
              <w:t>CDA</w:t>
            </w:r>
            <w:r w:rsidR="00320851">
              <w:rPr>
                <w:sz w:val="20"/>
                <w:lang w:val="nl-NL"/>
              </w:rPr>
              <w:t xml:space="preserve"> Geldrop-Mierlo</w:t>
            </w:r>
          </w:p>
          <w:p w14:paraId="7F44D528" w14:textId="414E6802" w:rsidR="00320851" w:rsidRDefault="00320851">
            <w:pPr>
              <w:spacing w:after="12"/>
              <w:ind w:left="0"/>
              <w:rPr>
                <w:sz w:val="20"/>
                <w:lang w:val="nl-NL"/>
              </w:rPr>
            </w:pPr>
          </w:p>
          <w:p w14:paraId="6D90AFB6" w14:textId="7C2C7EDC" w:rsidR="00320851" w:rsidRDefault="00320851">
            <w:pPr>
              <w:spacing w:after="12"/>
              <w:ind w:left="0"/>
              <w:rPr>
                <w:sz w:val="20"/>
                <w:lang w:val="nl-NL"/>
              </w:rPr>
            </w:pPr>
          </w:p>
          <w:p w14:paraId="5AA05F55" w14:textId="2FAB9DA2" w:rsidR="00320851" w:rsidRDefault="00320851">
            <w:pPr>
              <w:spacing w:after="12"/>
              <w:ind w:left="0"/>
              <w:rPr>
                <w:sz w:val="20"/>
                <w:lang w:val="nl-NL"/>
              </w:rPr>
            </w:pPr>
          </w:p>
          <w:p w14:paraId="30BC82E3" w14:textId="61502C2B" w:rsidR="00320851" w:rsidRDefault="00320851">
            <w:pPr>
              <w:spacing w:after="12"/>
              <w:ind w:left="0"/>
              <w:rPr>
                <w:sz w:val="20"/>
                <w:lang w:val="nl-NL"/>
              </w:rPr>
            </w:pPr>
          </w:p>
          <w:p w14:paraId="5B10DE63" w14:textId="0F3274BE" w:rsidR="008A704D" w:rsidRPr="004734D3" w:rsidRDefault="0015127D" w:rsidP="00320851">
            <w:pPr>
              <w:spacing w:after="12"/>
              <w:ind w:left="0"/>
              <w:rPr>
                <w:lang w:val="nl-NL"/>
              </w:rPr>
            </w:pPr>
            <w:r w:rsidRPr="004734D3">
              <w:rPr>
                <w:sz w:val="20"/>
                <w:lang w:val="nl-NL"/>
              </w:rPr>
              <w:t xml:space="preserve">Mark van Schaijk </w:t>
            </w:r>
          </w:p>
        </w:tc>
      </w:tr>
    </w:tbl>
    <w:p w14:paraId="798057E7" w14:textId="1DDD1720" w:rsidR="008A704D" w:rsidRPr="00320851" w:rsidRDefault="0015127D" w:rsidP="00320851">
      <w:pPr>
        <w:spacing w:after="1680"/>
        <w:ind w:left="0"/>
        <w:rPr>
          <w:lang w:val="nl-NL"/>
        </w:rPr>
      </w:pPr>
      <w:r w:rsidRPr="004734D3">
        <w:rPr>
          <w:sz w:val="20"/>
          <w:lang w:val="nl-NL"/>
        </w:rPr>
        <w:t xml:space="preserve"> </w:t>
      </w:r>
      <w:r w:rsidR="00320851">
        <w:rPr>
          <w:lang w:val="nl-NL"/>
        </w:rPr>
        <w:br/>
      </w:r>
    </w:p>
    <w:sectPr w:rsidR="008A704D" w:rsidRPr="00320851">
      <w:pgSz w:w="11905" w:h="16840"/>
      <w:pgMar w:top="855" w:right="638" w:bottom="10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6DD"/>
    <w:multiLevelType w:val="hybridMultilevel"/>
    <w:tmpl w:val="4E463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0F72"/>
    <w:multiLevelType w:val="hybridMultilevel"/>
    <w:tmpl w:val="FFFFFFFF"/>
    <w:lvl w:ilvl="0" w:tplc="83A831E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5D3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A472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E68E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21EAA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C6FA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2B52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C4B5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2BA8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F50E53"/>
    <w:multiLevelType w:val="hybridMultilevel"/>
    <w:tmpl w:val="70943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85690">
    <w:abstractNumId w:val="1"/>
  </w:num>
  <w:num w:numId="2" w16cid:durableId="1556041136">
    <w:abstractNumId w:val="0"/>
  </w:num>
  <w:num w:numId="3" w16cid:durableId="17461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D"/>
    <w:rsid w:val="0015127D"/>
    <w:rsid w:val="00320851"/>
    <w:rsid w:val="004734D3"/>
    <w:rsid w:val="008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71C"/>
  <w15:docId w15:val="{DF8869E3-DBC8-2744-BB75-64C5330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59" w:lineRule="auto"/>
      <w:ind w:left="-710"/>
    </w:pPr>
    <w:rPr>
      <w:rFonts w:ascii="Arial" w:eastAsia="Arial" w:hAnsi="Arial" w:cs="Times New Roman"/>
      <w:color w:val="000000"/>
      <w:sz w:val="16"/>
      <w:lang w:val="en" w:eastAsia="e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47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MvanSchaijk@deloitte.nl</dc:creator>
  <cp:keywords/>
  <dc:description/>
  <cp:lastModifiedBy>van Schaijk, Mark</cp:lastModifiedBy>
  <cp:revision>3</cp:revision>
  <dcterms:created xsi:type="dcterms:W3CDTF">2024-04-17T17:13:00Z</dcterms:created>
  <dcterms:modified xsi:type="dcterms:W3CDTF">2024-04-17T17:14:00Z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2024-04-17T17:13:40Z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eccc96e0-76b1-442e-bfbd-30ab8358af70</vt:lpwstr>
  </property>
  <property fmtid="{D5CDD505-2E9C-101B-9397-08002B2CF9AE}" pid="8" name="MSIP_Label_ea60d57e-af5b-4752-ac57-3e4f28ca11dc_ContentBits">
    <vt:lpwstr>0</vt:lpwstr>
  </property>
</Properties>
</file>